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5" w:type="dxa"/>
        <w:tblLook w:val="04A0" w:firstRow="1" w:lastRow="0" w:firstColumn="1" w:lastColumn="0" w:noHBand="0" w:noVBand="1"/>
      </w:tblPr>
      <w:tblGrid>
        <w:gridCol w:w="1560"/>
        <w:gridCol w:w="8930"/>
      </w:tblGrid>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Brigada contra incêndio</w:t>
            </w:r>
          </w:p>
        </w:tc>
        <w:tc>
          <w:tcPr>
            <w:tcW w:w="8930" w:type="dxa"/>
            <w:vAlign w:val="center"/>
          </w:tcPr>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O brigadista deve ser alfabetizado, ter bons conhecimentos das instalações, estar com boa saúde e com bom condicionamento físico e ser maior de idade.</w:t>
            </w:r>
          </w:p>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O curso deve ser aplicado uma vez por ano, e se mais de metade da brigada se mudar, deve ser feita uma reciclagem. A aula dura oito horas e contempla aspectos teóricos e práticos, como manuseio correto de extintores e mangueiras, combate a incêndio e primeiros socorros.</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Extintores, mangueiras e hidrantes</w:t>
            </w:r>
          </w:p>
        </w:tc>
        <w:tc>
          <w:tcPr>
            <w:tcW w:w="8930" w:type="dxa"/>
            <w:vAlign w:val="center"/>
          </w:tcPr>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Devem passar por manutenção preventiva anualmente. A empresa deve ser certificada pelo INMETRO.</w:t>
            </w:r>
          </w:p>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Extintores devem ser recarregados uma vez por ano e conter o selo do INMETRO.</w:t>
            </w:r>
          </w:p>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Ao retirar extintores para recarga, a empresa contratada deve deixar 100% de reposição temporária das peças removidas.</w:t>
            </w:r>
          </w:p>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As mangueiras também devem ser postas à prova, sendo desenroladas e passando por teste hidroestátitco. Os hidrantes também devem ser checados a cada doze meses.</w:t>
            </w:r>
          </w:p>
          <w:p w:rsidR="007979D3" w:rsidRPr="007979D3" w:rsidRDefault="007979D3" w:rsidP="00A13F39">
            <w:pPr>
              <w:pStyle w:val="ListParagraph"/>
              <w:numPr>
                <w:ilvl w:val="0"/>
                <w:numId w:val="13"/>
              </w:numPr>
              <w:spacing w:before="80" w:after="80" w:line="240" w:lineRule="auto"/>
              <w:ind w:left="530"/>
              <w:jc w:val="left"/>
              <w:rPr>
                <w:sz w:val="18"/>
                <w:szCs w:val="18"/>
              </w:rPr>
            </w:pPr>
            <w:r w:rsidRPr="007979D3">
              <w:rPr>
                <w:sz w:val="18"/>
                <w:szCs w:val="18"/>
              </w:rPr>
              <w:t xml:space="preserve">Passar semanalmente e checar em todos os pavimentos se os extintores não foram esvaziados e se o hidrante contém todos os seus itens: mangueira, adaptador, chave e esguicho.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Portas cortafogo</w:t>
            </w:r>
          </w:p>
        </w:tc>
        <w:tc>
          <w:tcPr>
            <w:tcW w:w="8930" w:type="dxa"/>
            <w:vAlign w:val="center"/>
          </w:tcPr>
          <w:p w:rsidR="007979D3" w:rsidRPr="007979D3" w:rsidRDefault="007979D3" w:rsidP="00A13F39">
            <w:pPr>
              <w:pStyle w:val="ListParagraph"/>
              <w:numPr>
                <w:ilvl w:val="0"/>
                <w:numId w:val="14"/>
              </w:numPr>
              <w:spacing w:before="80" w:after="80" w:line="240" w:lineRule="auto"/>
              <w:ind w:left="530"/>
              <w:jc w:val="left"/>
              <w:rPr>
                <w:sz w:val="18"/>
                <w:szCs w:val="18"/>
              </w:rPr>
            </w:pPr>
            <w:r w:rsidRPr="007979D3">
              <w:rPr>
                <w:sz w:val="18"/>
                <w:szCs w:val="18"/>
              </w:rPr>
              <w:t>Esse dispositivo é um dos mais importantes em caso de incêndio, pois permite a saída dos moradores em caso de incêndio. As portas devem estar desobstruídas - jamais trancadas - e fechar-se sozinhas após abertas. Para averiguar sua condição, recomenda-se manutenção em sua mola a cada seis meses, com empresa especializada.</w:t>
            </w:r>
          </w:p>
          <w:p w:rsidR="007979D3" w:rsidRPr="007979D3" w:rsidRDefault="007979D3" w:rsidP="00A13F39">
            <w:pPr>
              <w:pStyle w:val="ListParagraph"/>
              <w:numPr>
                <w:ilvl w:val="0"/>
                <w:numId w:val="14"/>
              </w:numPr>
              <w:spacing w:before="80" w:after="80" w:line="240" w:lineRule="auto"/>
              <w:ind w:left="530"/>
              <w:jc w:val="left"/>
              <w:rPr>
                <w:sz w:val="18"/>
                <w:szCs w:val="18"/>
              </w:rPr>
            </w:pPr>
            <w:r w:rsidRPr="007979D3">
              <w:rPr>
                <w:sz w:val="18"/>
                <w:szCs w:val="18"/>
              </w:rPr>
              <w:t xml:space="preserve">É importante que a empresa contratada para cuidar desse equipamento seja especializada em segurança contra incêndio, com serviços certificados pela NBR 11 742, que trata de portas corta-fogo.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Seguro do condomínio</w:t>
            </w:r>
          </w:p>
        </w:tc>
        <w:tc>
          <w:tcPr>
            <w:tcW w:w="8930" w:type="dxa"/>
            <w:vAlign w:val="center"/>
          </w:tcPr>
          <w:p w:rsidR="007979D3" w:rsidRPr="007979D3" w:rsidRDefault="007979D3" w:rsidP="00A13F39">
            <w:pPr>
              <w:pStyle w:val="ListParagraph"/>
              <w:numPr>
                <w:ilvl w:val="0"/>
                <w:numId w:val="15"/>
              </w:numPr>
              <w:spacing w:before="80" w:after="80" w:line="240" w:lineRule="auto"/>
              <w:ind w:left="530"/>
              <w:jc w:val="left"/>
              <w:rPr>
                <w:sz w:val="18"/>
                <w:szCs w:val="18"/>
              </w:rPr>
            </w:pPr>
            <w:r w:rsidRPr="007979D3">
              <w:rPr>
                <w:sz w:val="18"/>
                <w:szCs w:val="18"/>
              </w:rPr>
              <w:t xml:space="preserve">O condomínio é obrigado por lei a ter uma cobertura contra incêndio. Porém, o pagamento desse prêmio está sujeito ao cumprimento das obrigações legais do condomínio, como ter número de brigadistas suficientes – como manda a lei- e o AVCB em dia.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Alarme contra incêndio e splinkers</w:t>
            </w:r>
          </w:p>
        </w:tc>
        <w:tc>
          <w:tcPr>
            <w:tcW w:w="8930" w:type="dxa"/>
            <w:vAlign w:val="center"/>
          </w:tcPr>
          <w:p w:rsidR="007979D3" w:rsidRPr="007979D3" w:rsidRDefault="007979D3" w:rsidP="00A13F39">
            <w:pPr>
              <w:pStyle w:val="ListParagraph"/>
              <w:numPr>
                <w:ilvl w:val="0"/>
                <w:numId w:val="15"/>
              </w:numPr>
              <w:spacing w:before="80" w:after="80" w:line="240" w:lineRule="auto"/>
              <w:ind w:left="530"/>
              <w:jc w:val="left"/>
              <w:rPr>
                <w:sz w:val="18"/>
                <w:szCs w:val="18"/>
              </w:rPr>
            </w:pPr>
            <w:r w:rsidRPr="007979D3">
              <w:rPr>
                <w:sz w:val="18"/>
                <w:szCs w:val="18"/>
              </w:rPr>
              <w:t xml:space="preserve">Esses dispositivos não são obrigatórios em condomínios residenciais. Em empreendimentos comerciais, aconselha-se sua manutenção uma vez por ano, preferencialmente aos sábados, para evitar desconforto aos usuários da edificação. Nos condomínios que desejarem sua instalação, um projeto pode ser feito.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Escadas</w:t>
            </w:r>
          </w:p>
        </w:tc>
        <w:tc>
          <w:tcPr>
            <w:tcW w:w="8930" w:type="dxa"/>
            <w:vAlign w:val="center"/>
          </w:tcPr>
          <w:p w:rsidR="007979D3" w:rsidRPr="007979D3" w:rsidRDefault="007979D3" w:rsidP="00A13F39">
            <w:pPr>
              <w:pStyle w:val="ListParagraph"/>
              <w:numPr>
                <w:ilvl w:val="0"/>
                <w:numId w:val="15"/>
              </w:numPr>
              <w:spacing w:before="80" w:after="80" w:line="240" w:lineRule="auto"/>
              <w:ind w:left="530"/>
              <w:jc w:val="left"/>
              <w:rPr>
                <w:sz w:val="18"/>
                <w:szCs w:val="18"/>
              </w:rPr>
            </w:pPr>
            <w:r w:rsidRPr="007979D3">
              <w:rPr>
                <w:sz w:val="18"/>
                <w:szCs w:val="18"/>
              </w:rPr>
              <w:t>As escadarias do condomínio – seja comercial ou residencial- devem estar sempre totalmente desobstruídas. Ou seja, nada deve ficar na escada.</w:t>
            </w:r>
          </w:p>
          <w:p w:rsidR="007979D3" w:rsidRPr="007979D3" w:rsidRDefault="007979D3" w:rsidP="00A13F39">
            <w:pPr>
              <w:pStyle w:val="ListParagraph"/>
              <w:numPr>
                <w:ilvl w:val="0"/>
                <w:numId w:val="15"/>
              </w:numPr>
              <w:spacing w:before="80" w:after="80" w:line="240" w:lineRule="auto"/>
              <w:ind w:left="530"/>
              <w:jc w:val="left"/>
              <w:rPr>
                <w:sz w:val="18"/>
                <w:szCs w:val="18"/>
              </w:rPr>
            </w:pPr>
            <w:r w:rsidRPr="007979D3">
              <w:rPr>
                <w:sz w:val="18"/>
                <w:szCs w:val="18"/>
              </w:rPr>
              <w:t>Os corrimãos devem ser contínuos: na altura adequada pelo corpo de bombeiros, sem ponta viva – ao chegar próximo da porta, ele é chumbado na parede.</w:t>
            </w:r>
          </w:p>
          <w:p w:rsidR="007979D3" w:rsidRPr="007979D3" w:rsidRDefault="007979D3" w:rsidP="00A13F39">
            <w:pPr>
              <w:pStyle w:val="ListParagraph"/>
              <w:numPr>
                <w:ilvl w:val="0"/>
                <w:numId w:val="15"/>
              </w:numPr>
              <w:spacing w:before="80" w:after="80" w:line="240" w:lineRule="auto"/>
              <w:ind w:left="530"/>
              <w:jc w:val="left"/>
              <w:rPr>
                <w:sz w:val="18"/>
                <w:szCs w:val="18"/>
              </w:rPr>
            </w:pPr>
            <w:r w:rsidRPr="007979D3">
              <w:rPr>
                <w:sz w:val="18"/>
                <w:szCs w:val="18"/>
              </w:rPr>
              <w:t xml:space="preserve">O sistema de iluminação de emergência deve estar com a manutenção em dia e em condições de pleno funcionamento.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Rota de fuga e sinalização</w:t>
            </w:r>
          </w:p>
        </w:tc>
        <w:tc>
          <w:tcPr>
            <w:tcW w:w="8930" w:type="dxa"/>
            <w:vAlign w:val="center"/>
          </w:tcPr>
          <w:p w:rsidR="007979D3" w:rsidRPr="007979D3" w:rsidRDefault="007979D3" w:rsidP="00A13F39">
            <w:pPr>
              <w:pStyle w:val="ListParagraph"/>
              <w:numPr>
                <w:ilvl w:val="0"/>
                <w:numId w:val="16"/>
              </w:numPr>
              <w:spacing w:before="80" w:after="80" w:line="240" w:lineRule="auto"/>
              <w:ind w:left="530"/>
              <w:jc w:val="left"/>
              <w:rPr>
                <w:sz w:val="18"/>
                <w:szCs w:val="18"/>
              </w:rPr>
            </w:pPr>
            <w:r w:rsidRPr="007979D3">
              <w:rPr>
                <w:sz w:val="18"/>
                <w:szCs w:val="18"/>
              </w:rPr>
              <w:t xml:space="preserve">Todas as edificações devem ter sua rota de fuga sinalizada com cartazes fotoluminescentes (que brilham no escuro). Todos os pavimentos devem ter placas mostrando em qual andar estão, para que sentido é o térreo e/ou a rota de fuga estudada, além de onde estão hidrantes, extintores e alarme, caso haja.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AVCB</w:t>
            </w:r>
          </w:p>
        </w:tc>
        <w:tc>
          <w:tcPr>
            <w:tcW w:w="8930" w:type="dxa"/>
            <w:vAlign w:val="center"/>
          </w:tcPr>
          <w:p w:rsidR="007979D3" w:rsidRPr="007979D3" w:rsidRDefault="007979D3" w:rsidP="00A13F39">
            <w:pPr>
              <w:pStyle w:val="ListParagraph"/>
              <w:numPr>
                <w:ilvl w:val="0"/>
                <w:numId w:val="16"/>
              </w:numPr>
              <w:spacing w:before="80" w:after="80" w:line="240" w:lineRule="auto"/>
              <w:ind w:left="530"/>
              <w:jc w:val="left"/>
              <w:rPr>
                <w:sz w:val="18"/>
                <w:szCs w:val="18"/>
              </w:rPr>
            </w:pPr>
            <w:r w:rsidRPr="007979D3">
              <w:rPr>
                <w:sz w:val="18"/>
                <w:szCs w:val="18"/>
              </w:rPr>
              <w:t>O Auto de Vistoria do Corpo de Bombeiros é um laudo que a corporação emite a cada três anos – para condomínios residenciais ou comerciais. Geralmente o que os bombeiros encontram em não-conformidade com a regra em condomínios são:</w:t>
            </w:r>
            <w:r w:rsidR="00A13F39">
              <w:rPr>
                <w:sz w:val="18"/>
                <w:szCs w:val="18"/>
              </w:rPr>
              <w:t xml:space="preserve"> </w:t>
            </w:r>
            <w:r w:rsidRPr="007979D3">
              <w:rPr>
                <w:sz w:val="18"/>
                <w:szCs w:val="18"/>
              </w:rPr>
              <w:t>Itens na escada; Extintores vencidos; Hidrante sem mangueira ou outros itens; Excesso de diesel para gerador</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 xml:space="preserve">Produtos inflamáveis </w:t>
            </w:r>
          </w:p>
        </w:tc>
        <w:tc>
          <w:tcPr>
            <w:tcW w:w="8930" w:type="dxa"/>
            <w:vAlign w:val="center"/>
          </w:tcPr>
          <w:p w:rsidR="007979D3" w:rsidRPr="007979D3" w:rsidRDefault="007979D3" w:rsidP="00A13F39">
            <w:pPr>
              <w:pStyle w:val="ListParagraph"/>
              <w:numPr>
                <w:ilvl w:val="0"/>
                <w:numId w:val="16"/>
              </w:numPr>
              <w:spacing w:before="80" w:after="80" w:line="240" w:lineRule="auto"/>
              <w:ind w:left="530"/>
              <w:jc w:val="left"/>
              <w:rPr>
                <w:sz w:val="18"/>
                <w:szCs w:val="18"/>
              </w:rPr>
            </w:pPr>
            <w:r w:rsidRPr="007979D3">
              <w:rPr>
                <w:sz w:val="18"/>
                <w:szCs w:val="18"/>
              </w:rPr>
              <w:t>Evite guardar um volume muito grande de produtos químicos no condomínio. Estoque no máximo o suficiente para duas semanas de uso, em uma sala que deve necessariamente conter janela e prateleiras.</w:t>
            </w:r>
          </w:p>
          <w:p w:rsidR="007979D3" w:rsidRPr="007979D3" w:rsidRDefault="007979D3" w:rsidP="00A13F39">
            <w:pPr>
              <w:pStyle w:val="ListParagraph"/>
              <w:numPr>
                <w:ilvl w:val="0"/>
                <w:numId w:val="16"/>
              </w:numPr>
              <w:spacing w:before="80" w:after="80" w:line="240" w:lineRule="auto"/>
              <w:ind w:left="530"/>
              <w:jc w:val="left"/>
              <w:rPr>
                <w:sz w:val="18"/>
                <w:szCs w:val="18"/>
              </w:rPr>
            </w:pPr>
            <w:r w:rsidRPr="007979D3">
              <w:rPr>
                <w:sz w:val="18"/>
                <w:szCs w:val="18"/>
              </w:rPr>
              <w:t xml:space="preserve">O combustível para gerador também requer cuidados. O condomínio não deve ter mais de 250 L de diesel guardado. </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Elevadores</w:t>
            </w:r>
          </w:p>
        </w:tc>
        <w:tc>
          <w:tcPr>
            <w:tcW w:w="8930" w:type="dxa"/>
            <w:vAlign w:val="center"/>
          </w:tcPr>
          <w:p w:rsidR="007979D3" w:rsidRPr="007979D3" w:rsidRDefault="007979D3" w:rsidP="00A13F39">
            <w:pPr>
              <w:pStyle w:val="ListParagraph"/>
              <w:numPr>
                <w:ilvl w:val="0"/>
                <w:numId w:val="16"/>
              </w:numPr>
              <w:spacing w:before="80" w:after="80" w:line="240" w:lineRule="auto"/>
              <w:ind w:left="530"/>
              <w:jc w:val="left"/>
              <w:rPr>
                <w:sz w:val="18"/>
                <w:szCs w:val="18"/>
              </w:rPr>
            </w:pPr>
            <w:r w:rsidRPr="007979D3">
              <w:rPr>
                <w:sz w:val="18"/>
                <w:szCs w:val="18"/>
              </w:rPr>
              <w:t>Estes equipamentos jamais devem ser usados em casos de incêndio. Em alguns condomínios – principalmente os comerciais - existem sistemas que desligam os elevadores, caso os alarmes de incêndios sejam acionados. Por isso, a sinalização deve estar muito visível e clara a todos os condôminos sobre a não utilização do equipamento em caso de incêndios.</w:t>
            </w:r>
          </w:p>
        </w:tc>
      </w:tr>
      <w:tr w:rsidR="007979D3" w:rsidTr="00A13F39">
        <w:tc>
          <w:tcPr>
            <w:tcW w:w="1560" w:type="dxa"/>
            <w:vAlign w:val="center"/>
          </w:tcPr>
          <w:p w:rsidR="007979D3" w:rsidRPr="00A13F39" w:rsidRDefault="007979D3" w:rsidP="007979D3">
            <w:pPr>
              <w:spacing w:before="80" w:after="80"/>
              <w:ind w:left="0" w:firstLine="0"/>
              <w:jc w:val="left"/>
              <w:rPr>
                <w:sz w:val="18"/>
                <w:szCs w:val="18"/>
              </w:rPr>
            </w:pPr>
            <w:r w:rsidRPr="00A13F39">
              <w:rPr>
                <w:sz w:val="18"/>
                <w:szCs w:val="18"/>
              </w:rPr>
              <w:t xml:space="preserve">Instalações elétricas </w:t>
            </w:r>
          </w:p>
        </w:tc>
        <w:tc>
          <w:tcPr>
            <w:tcW w:w="8930" w:type="dxa"/>
            <w:vAlign w:val="center"/>
          </w:tcPr>
          <w:p w:rsidR="007979D3" w:rsidRPr="007979D3" w:rsidRDefault="007979D3" w:rsidP="00A13F39">
            <w:pPr>
              <w:pStyle w:val="ListParagraph"/>
              <w:numPr>
                <w:ilvl w:val="0"/>
                <w:numId w:val="12"/>
              </w:numPr>
              <w:spacing w:before="80" w:after="80" w:line="240" w:lineRule="auto"/>
              <w:ind w:left="530"/>
              <w:jc w:val="left"/>
              <w:rPr>
                <w:sz w:val="18"/>
                <w:szCs w:val="18"/>
              </w:rPr>
            </w:pPr>
            <w:r w:rsidRPr="007979D3">
              <w:rPr>
                <w:sz w:val="18"/>
                <w:szCs w:val="18"/>
              </w:rPr>
              <w:t>Muitos incêndios começam devido a curtos-circuitos.</w:t>
            </w:r>
          </w:p>
          <w:p w:rsidR="007979D3" w:rsidRPr="007979D3" w:rsidRDefault="007979D3" w:rsidP="00A13F39">
            <w:pPr>
              <w:pStyle w:val="ListParagraph"/>
              <w:numPr>
                <w:ilvl w:val="0"/>
                <w:numId w:val="12"/>
              </w:numPr>
              <w:spacing w:before="80" w:after="80" w:line="240" w:lineRule="auto"/>
              <w:ind w:left="530"/>
              <w:jc w:val="left"/>
              <w:rPr>
                <w:sz w:val="18"/>
                <w:szCs w:val="18"/>
              </w:rPr>
            </w:pPr>
            <w:r w:rsidRPr="007979D3">
              <w:rPr>
                <w:sz w:val="18"/>
                <w:szCs w:val="18"/>
              </w:rPr>
              <w:t>Se a instalação elétrica de todo o empreendimento está antiga ou não está apta para tanta demanda, pequenas falhas começam a acontecer: energia que vive caindo, luz piscando, tomadas que esquentam, pequenos choques, quedas dos disjuntores, cheiro de queimado ou de fumaça.</w:t>
            </w:r>
          </w:p>
          <w:p w:rsidR="007979D3" w:rsidRPr="007979D3" w:rsidRDefault="007979D3" w:rsidP="00A13F39">
            <w:pPr>
              <w:pStyle w:val="ListParagraph"/>
              <w:numPr>
                <w:ilvl w:val="0"/>
                <w:numId w:val="12"/>
              </w:numPr>
              <w:spacing w:before="80" w:after="80" w:line="240" w:lineRule="auto"/>
              <w:ind w:left="530"/>
              <w:jc w:val="left"/>
              <w:rPr>
                <w:sz w:val="18"/>
                <w:szCs w:val="18"/>
              </w:rPr>
            </w:pPr>
            <w:r w:rsidRPr="007979D3">
              <w:rPr>
                <w:sz w:val="18"/>
                <w:szCs w:val="18"/>
              </w:rPr>
              <w:t>Esses sinais mostram que a rede elétrica precisa de uma intervenção. Por isso, um zelador atuante pode ajudar, e muito, a captar os primeiros sinais de que algo não vai bem, ao relatar imediatamente para o síndico. Os custos com reformas serão menores do que se o problema for adiado indefinidamente.</w:t>
            </w:r>
          </w:p>
          <w:p w:rsidR="007979D3" w:rsidRPr="007979D3" w:rsidRDefault="007979D3" w:rsidP="00A13F39">
            <w:pPr>
              <w:pStyle w:val="ListParagraph"/>
              <w:numPr>
                <w:ilvl w:val="0"/>
                <w:numId w:val="12"/>
              </w:numPr>
              <w:spacing w:before="80" w:after="80" w:line="240" w:lineRule="auto"/>
              <w:ind w:left="530"/>
              <w:jc w:val="left"/>
              <w:rPr>
                <w:sz w:val="18"/>
                <w:szCs w:val="18"/>
              </w:rPr>
            </w:pPr>
            <w:r w:rsidRPr="007979D3">
              <w:rPr>
                <w:sz w:val="18"/>
                <w:szCs w:val="18"/>
              </w:rPr>
              <w:t>É de extrema importância que o zelador seja informado caso luzes pisquem com frequência, se houver aquecimento de equipamentos ou se houver quedas de energia no condomínio.</w:t>
            </w:r>
          </w:p>
        </w:tc>
      </w:tr>
    </w:tbl>
    <w:p w:rsidR="00FA7D96" w:rsidRDefault="00FA7D96">
      <w:pPr>
        <w:spacing w:after="205"/>
        <w:ind w:left="-5"/>
        <w:jc w:val="left"/>
        <w:rPr>
          <w:sz w:val="22"/>
        </w:rPr>
      </w:pPr>
    </w:p>
    <w:sectPr w:rsidR="00FA7D96" w:rsidSect="00A13F39">
      <w:headerReference w:type="even" r:id="rId7"/>
      <w:headerReference w:type="default" r:id="rId8"/>
      <w:footerReference w:type="even" r:id="rId9"/>
      <w:footerReference w:type="default" r:id="rId10"/>
      <w:headerReference w:type="first" r:id="rId11"/>
      <w:footerReference w:type="first" r:id="rId12"/>
      <w:pgSz w:w="11900" w:h="16840"/>
      <w:pgMar w:top="567" w:right="680" w:bottom="567" w:left="680" w:header="68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82" w:rsidRDefault="00DA3882" w:rsidP="00FA7D96">
      <w:pPr>
        <w:spacing w:after="0" w:line="240" w:lineRule="auto"/>
      </w:pPr>
      <w:r>
        <w:separator/>
      </w:r>
    </w:p>
  </w:endnote>
  <w:endnote w:type="continuationSeparator" w:id="0">
    <w:p w:rsidR="00DA3882" w:rsidRDefault="00DA3882" w:rsidP="00FA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37" w:rsidRDefault="00121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96" w:rsidRPr="00FA7D96" w:rsidRDefault="00FA7D96" w:rsidP="00FA7D96">
    <w:pPr>
      <w:spacing w:after="116" w:line="259" w:lineRule="auto"/>
      <w:ind w:left="0" w:firstLine="0"/>
      <w:jc w:val="left"/>
      <w:rPr>
        <w:color w:val="767171" w:themeColor="background2"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37" w:rsidRDefault="0012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82" w:rsidRDefault="00DA3882" w:rsidP="00FA7D96">
      <w:pPr>
        <w:spacing w:after="0" w:line="240" w:lineRule="auto"/>
      </w:pPr>
      <w:r>
        <w:separator/>
      </w:r>
    </w:p>
  </w:footnote>
  <w:footnote w:type="continuationSeparator" w:id="0">
    <w:p w:rsidR="00DA3882" w:rsidRDefault="00DA3882" w:rsidP="00FA7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37" w:rsidRDefault="00121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39" w:rsidRPr="00A13F39" w:rsidRDefault="00A13F39">
    <w:pPr>
      <w:pStyle w:val="Header"/>
      <w:rPr>
        <w:b/>
        <w:color w:val="562D77"/>
        <w:sz w:val="32"/>
      </w:rPr>
    </w:pPr>
    <w:bookmarkStart w:id="0" w:name="_GoBack"/>
    <w:bookmarkEnd w:id="0"/>
    <w:r w:rsidRPr="00A13F39">
      <w:rPr>
        <w:b/>
        <w:color w:val="562D77"/>
        <w:sz w:val="32"/>
      </w:rPr>
      <w:t xml:space="preserve">Check-list contra Incêndios </w:t>
    </w:r>
  </w:p>
  <w:p w:rsidR="00A13F39" w:rsidRPr="00A13F39" w:rsidRDefault="00A13F39">
    <w:pPr>
      <w:pStyle w:val="Header"/>
      <w:rPr>
        <w:sz w:val="22"/>
      </w:rPr>
    </w:pPr>
    <w:r w:rsidRPr="00A13F39">
      <w:rPr>
        <w:sz w:val="22"/>
      </w:rPr>
      <w:t>Verifique se o seu condomínio está em dia quanto à prevenção e combate a incêndios</w:t>
    </w:r>
  </w:p>
  <w:p w:rsidR="00A13F39" w:rsidRDefault="00A13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37" w:rsidRDefault="0012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B11"/>
    <w:multiLevelType w:val="hybridMultilevel"/>
    <w:tmpl w:val="B360FD4A"/>
    <w:lvl w:ilvl="0" w:tplc="AD22926C">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CC19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2B0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CD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67F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B220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809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8F7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5A3E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87D6654"/>
    <w:multiLevelType w:val="hybridMultilevel"/>
    <w:tmpl w:val="DA0A55CA"/>
    <w:lvl w:ilvl="0" w:tplc="A5CAB8B0">
      <w:start w:val="1"/>
      <w:numFmt w:val="lowerLetter"/>
      <w:lvlText w:val="%1)"/>
      <w:lvlJc w:val="left"/>
      <w:pPr>
        <w:ind w:left="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415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4A9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F849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24A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8C8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ECBF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8C3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6A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3795205D"/>
    <w:multiLevelType w:val="hybridMultilevel"/>
    <w:tmpl w:val="B80EA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982AB4"/>
    <w:multiLevelType w:val="hybridMultilevel"/>
    <w:tmpl w:val="04BAC7CE"/>
    <w:lvl w:ilvl="0" w:tplc="E616837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FC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42E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25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C19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1CDF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D2F7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64A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F866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43E61452"/>
    <w:multiLevelType w:val="hybridMultilevel"/>
    <w:tmpl w:val="75163774"/>
    <w:lvl w:ilvl="0" w:tplc="DDF82A8C">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AC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8E93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888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52A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A3B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E848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C2A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C75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46A01F4D"/>
    <w:multiLevelType w:val="multilevel"/>
    <w:tmpl w:val="B80EA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9061D8A"/>
    <w:multiLevelType w:val="hybridMultilevel"/>
    <w:tmpl w:val="214E3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FCF7184"/>
    <w:multiLevelType w:val="hybridMultilevel"/>
    <w:tmpl w:val="574C7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D379C9"/>
    <w:multiLevelType w:val="hybridMultilevel"/>
    <w:tmpl w:val="E4B0C456"/>
    <w:lvl w:ilvl="0" w:tplc="D2DCDC30">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231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00B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E688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85F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2FC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7C0A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282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CCF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5CE80C44"/>
    <w:multiLevelType w:val="hybridMultilevel"/>
    <w:tmpl w:val="81449BE6"/>
    <w:lvl w:ilvl="0" w:tplc="377E403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582C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EEC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E00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878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C25B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62F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680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296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64B40BDF"/>
    <w:multiLevelType w:val="hybridMultilevel"/>
    <w:tmpl w:val="2598B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91651C1"/>
    <w:multiLevelType w:val="hybridMultilevel"/>
    <w:tmpl w:val="42AAE0F4"/>
    <w:lvl w:ilvl="0" w:tplc="9EC456E4">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8E2E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E94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405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2D0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A9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248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0AF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C3A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6A0D50EA"/>
    <w:multiLevelType w:val="hybridMultilevel"/>
    <w:tmpl w:val="B0FAEA76"/>
    <w:lvl w:ilvl="0" w:tplc="5FC43FF6">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81E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AA1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AF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AD2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EAB9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A4D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66E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60A4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6D2618A7"/>
    <w:multiLevelType w:val="hybridMultilevel"/>
    <w:tmpl w:val="F59AB6FA"/>
    <w:lvl w:ilvl="0" w:tplc="02F8353A">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E5C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5407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9AA5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CC25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52B6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895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ED3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6CB6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74E42F26"/>
    <w:multiLevelType w:val="hybridMultilevel"/>
    <w:tmpl w:val="48183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8745A92"/>
    <w:multiLevelType w:val="hybridMultilevel"/>
    <w:tmpl w:val="BE542920"/>
    <w:lvl w:ilvl="0" w:tplc="327E6EEE">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2E07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222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102D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EA75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EF2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079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E82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C78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7F123A54"/>
    <w:multiLevelType w:val="hybridMultilevel"/>
    <w:tmpl w:val="DD4AF104"/>
    <w:lvl w:ilvl="0" w:tplc="BF68B29E">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235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6614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762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A4D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835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2ED4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226B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9C60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1"/>
  </w:num>
  <w:num w:numId="3">
    <w:abstractNumId w:val="13"/>
  </w:num>
  <w:num w:numId="4">
    <w:abstractNumId w:val="9"/>
  </w:num>
  <w:num w:numId="5">
    <w:abstractNumId w:val="15"/>
  </w:num>
  <w:num w:numId="6">
    <w:abstractNumId w:val="3"/>
  </w:num>
  <w:num w:numId="7">
    <w:abstractNumId w:val="12"/>
  </w:num>
  <w:num w:numId="8">
    <w:abstractNumId w:val="4"/>
  </w:num>
  <w:num w:numId="9">
    <w:abstractNumId w:val="1"/>
  </w:num>
  <w:num w:numId="10">
    <w:abstractNumId w:val="16"/>
  </w:num>
  <w:num w:numId="11">
    <w:abstractNumId w:val="8"/>
  </w:num>
  <w:num w:numId="12">
    <w:abstractNumId w:val="7"/>
  </w:num>
  <w:num w:numId="13">
    <w:abstractNumId w:val="2"/>
  </w:num>
  <w:num w:numId="14">
    <w:abstractNumId w:val="10"/>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C9"/>
    <w:rsid w:val="00121737"/>
    <w:rsid w:val="007979D3"/>
    <w:rsid w:val="00A13F39"/>
    <w:rsid w:val="00A80DD3"/>
    <w:rsid w:val="00BD3EC9"/>
    <w:rsid w:val="00C51134"/>
    <w:rsid w:val="00C71DDB"/>
    <w:rsid w:val="00CA1948"/>
    <w:rsid w:val="00DA3882"/>
    <w:rsid w:val="00FA7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B6085-11E1-41C5-9DFF-BA1EE712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9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7D96"/>
    <w:rPr>
      <w:rFonts w:ascii="Calibri" w:eastAsia="Calibri" w:hAnsi="Calibri" w:cs="Calibri"/>
      <w:color w:val="000000"/>
      <w:sz w:val="20"/>
    </w:rPr>
  </w:style>
  <w:style w:type="paragraph" w:styleId="Footer">
    <w:name w:val="footer"/>
    <w:basedOn w:val="Normal"/>
    <w:link w:val="FooterChar"/>
    <w:uiPriority w:val="99"/>
    <w:unhideWhenUsed/>
    <w:rsid w:val="00FA7D9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7D96"/>
    <w:rPr>
      <w:rFonts w:ascii="Calibri" w:eastAsia="Calibri" w:hAnsi="Calibri" w:cs="Calibri"/>
      <w:color w:val="000000"/>
      <w:sz w:val="20"/>
    </w:rPr>
  </w:style>
  <w:style w:type="table" w:styleId="TableGrid">
    <w:name w:val="Table Grid"/>
    <w:basedOn w:val="TableNormal"/>
    <w:uiPriority w:val="39"/>
    <w:rsid w:val="0079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759</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Microsoft Word - 296</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- 296</dc:title>
  <dc:subject/>
  <dc:creator>julio.vieira</dc:creator>
  <cp:keywords/>
  <cp:lastModifiedBy>Daniel Moreira Gomes</cp:lastModifiedBy>
  <cp:revision>4</cp:revision>
  <dcterms:created xsi:type="dcterms:W3CDTF">2016-12-07T18:06:00Z</dcterms:created>
  <dcterms:modified xsi:type="dcterms:W3CDTF">2020-04-28T20:06:00Z</dcterms:modified>
</cp:coreProperties>
</file>