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F4" w:rsidRPr="00BC3FF4" w:rsidRDefault="00BC3FF4" w:rsidP="00BC3FF4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color w:val="3E3E3E"/>
          <w:kern w:val="36"/>
          <w:sz w:val="48"/>
          <w:szCs w:val="48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kern w:val="36"/>
          <w:sz w:val="48"/>
          <w:szCs w:val="48"/>
          <w:lang w:eastAsia="pt-BR"/>
        </w:rPr>
        <w:t>Troca de síndico ou administradora de condomínio</w:t>
      </w:r>
      <w:bookmarkStart w:id="0" w:name="_GoBack"/>
      <w:bookmarkEnd w:id="0"/>
    </w:p>
    <w:p w:rsidR="00BC3FF4" w:rsidRPr="00BC3FF4" w:rsidRDefault="00BC3FF4" w:rsidP="00BC3FF4">
      <w:pPr>
        <w:spacing w:before="150"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color w:val="686868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686868"/>
          <w:sz w:val="27"/>
          <w:szCs w:val="27"/>
          <w:lang w:eastAsia="pt-BR"/>
        </w:rPr>
        <w:t>Documentos e procedimentos necessários para trocas de gestão</w:t>
      </w:r>
    </w:p>
    <w:p w:rsidR="003F6228" w:rsidRDefault="003F6228" w:rsidP="00BC3FF4">
      <w:pPr>
        <w:jc w:val="both"/>
      </w:pPr>
    </w:p>
    <w:p w:rsidR="00BC3FF4" w:rsidRDefault="00BC3FF4" w:rsidP="00BC3FF4">
      <w:pPr>
        <w:pStyle w:val="m-paragraph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3E3E3E"/>
          <w:sz w:val="27"/>
          <w:szCs w:val="27"/>
        </w:rPr>
      </w:pPr>
      <w:r>
        <w:rPr>
          <w:rFonts w:ascii="inherit" w:hAnsi="inherit"/>
          <w:color w:val="3E3E3E"/>
          <w:sz w:val="27"/>
          <w:szCs w:val="27"/>
        </w:rPr>
        <w:t xml:space="preserve">O momento da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troca de gestão</w:t>
      </w:r>
      <w:r>
        <w:rPr>
          <w:rFonts w:ascii="inherit" w:hAnsi="inherit"/>
          <w:color w:val="3E3E3E"/>
          <w:sz w:val="27"/>
          <w:szCs w:val="27"/>
        </w:rPr>
        <w:t xml:space="preserve">, seja da administradora ou do síndico, sempre pede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muita atençã</w:t>
      </w:r>
      <w:r>
        <w:rPr>
          <w:rFonts w:ascii="inherit" w:hAnsi="inherit"/>
          <w:color w:val="3E3E3E"/>
          <w:sz w:val="27"/>
          <w:szCs w:val="27"/>
        </w:rPr>
        <w:t>o. É imprescindível que alguns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 xml:space="preserve"> procedimentos</w:t>
      </w:r>
      <w:r>
        <w:rPr>
          <w:rFonts w:ascii="inherit" w:hAnsi="inherit"/>
          <w:color w:val="3E3E3E"/>
          <w:sz w:val="27"/>
          <w:szCs w:val="27"/>
        </w:rPr>
        <w:t xml:space="preserve"> sejam seguidos.</w:t>
      </w:r>
    </w:p>
    <w:p w:rsidR="00BC3FF4" w:rsidRDefault="00BC3FF4" w:rsidP="00BC3FF4">
      <w:pPr>
        <w:pStyle w:val="m-paragraph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3E3E3E"/>
          <w:sz w:val="27"/>
          <w:szCs w:val="27"/>
        </w:rPr>
      </w:pPr>
      <w:r>
        <w:rPr>
          <w:rFonts w:ascii="inherit" w:hAnsi="inherit"/>
          <w:color w:val="3E3E3E"/>
          <w:sz w:val="27"/>
          <w:szCs w:val="27"/>
        </w:rPr>
        <w:t xml:space="preserve">Para que a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transição</w:t>
      </w:r>
      <w:r>
        <w:rPr>
          <w:rFonts w:ascii="inherit" w:hAnsi="inherit"/>
          <w:color w:val="3E3E3E"/>
          <w:sz w:val="27"/>
          <w:szCs w:val="27"/>
        </w:rPr>
        <w:t xml:space="preserve"> seja a mais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tranquila</w:t>
      </w:r>
      <w:r>
        <w:rPr>
          <w:rFonts w:ascii="inherit" w:hAnsi="inherit"/>
          <w:color w:val="3E3E3E"/>
          <w:sz w:val="27"/>
          <w:szCs w:val="27"/>
        </w:rPr>
        <w:t xml:space="preserve"> e transparente possível, siga o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check-list</w:t>
      </w:r>
      <w:r>
        <w:rPr>
          <w:rFonts w:ascii="inherit" w:hAnsi="inherit"/>
          <w:color w:val="3E3E3E"/>
          <w:sz w:val="27"/>
          <w:szCs w:val="27"/>
        </w:rPr>
        <w:t xml:space="preserve"> abaixo. Ele oferece a lista de toda a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documentação necessária</w:t>
      </w:r>
      <w:r>
        <w:rPr>
          <w:rFonts w:ascii="inherit" w:hAnsi="inherit"/>
          <w:color w:val="3E3E3E"/>
          <w:sz w:val="27"/>
          <w:szCs w:val="27"/>
        </w:rPr>
        <w:t xml:space="preserve"> para um estudo completo da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 xml:space="preserve"> saúde atual</w:t>
      </w:r>
      <w:r>
        <w:rPr>
          <w:rFonts w:ascii="inherit" w:hAnsi="inherit"/>
          <w:color w:val="3E3E3E"/>
          <w:sz w:val="27"/>
          <w:szCs w:val="27"/>
        </w:rPr>
        <w:t xml:space="preserve"> do condomínio.</w:t>
      </w:r>
    </w:p>
    <w:p w:rsidR="00BC3FF4" w:rsidRDefault="00BC3FF4" w:rsidP="00BC3FF4">
      <w:pPr>
        <w:pStyle w:val="m-paragraph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3E3E3E"/>
          <w:sz w:val="27"/>
          <w:szCs w:val="27"/>
        </w:rPr>
      </w:pPr>
      <w:r>
        <w:rPr>
          <w:rFonts w:ascii="inherit" w:hAnsi="inherit"/>
          <w:color w:val="3E3E3E"/>
          <w:sz w:val="27"/>
          <w:szCs w:val="27"/>
        </w:rPr>
        <w:t xml:space="preserve">Também é importante frisar que as </w:t>
      </w:r>
      <w:r w:rsidRPr="00BC3FF4">
        <w:rPr>
          <w:rFonts w:ascii="inherit" w:eastAsiaTheme="majorEastAsia" w:hAnsi="inherit"/>
          <w:color w:val="3E3E3E"/>
          <w:sz w:val="27"/>
          <w:szCs w:val="27"/>
          <w:bdr w:val="none" w:sz="0" w:space="0" w:color="auto" w:frame="1"/>
        </w:rPr>
        <w:t>administradoras de condomínio</w:t>
      </w:r>
      <w:r>
        <w:rPr>
          <w:rFonts w:ascii="inherit" w:hAnsi="inherit"/>
          <w:color w:val="3E3E3E"/>
          <w:sz w:val="27"/>
          <w:szCs w:val="27"/>
        </w:rPr>
        <w:t xml:space="preserve"> pedem um período de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 xml:space="preserve">30 a 60 dias </w:t>
      </w:r>
      <w:r>
        <w:rPr>
          <w:rFonts w:ascii="inherit" w:hAnsi="inherit"/>
          <w:color w:val="3E3E3E"/>
          <w:sz w:val="27"/>
          <w:szCs w:val="27"/>
        </w:rPr>
        <w:t xml:space="preserve">para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finalizar a prestação</w:t>
      </w:r>
      <w:r>
        <w:rPr>
          <w:rFonts w:ascii="inherit" w:hAnsi="inherit"/>
          <w:color w:val="3E3E3E"/>
          <w:sz w:val="27"/>
          <w:szCs w:val="27"/>
        </w:rPr>
        <w:t xml:space="preserve">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de serviços</w:t>
      </w:r>
      <w:r>
        <w:rPr>
          <w:rFonts w:ascii="inherit" w:hAnsi="inherit"/>
          <w:color w:val="3E3E3E"/>
          <w:sz w:val="27"/>
          <w:szCs w:val="27"/>
        </w:rPr>
        <w:t xml:space="preserve">, dependendo do que está previsto em </w:t>
      </w: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contrato.</w:t>
      </w:r>
    </w:p>
    <w:p w:rsidR="00BC3FF4" w:rsidRDefault="00BC3FF4" w:rsidP="00BC3FF4">
      <w:pPr>
        <w:pStyle w:val="Heading3"/>
        <w:pBdr>
          <w:bottom w:val="single" w:sz="12" w:space="4" w:color="0AB47A"/>
        </w:pBdr>
        <w:spacing w:before="450" w:after="600"/>
        <w:jc w:val="both"/>
        <w:textAlignment w:val="baseline"/>
        <w:rPr>
          <w:rFonts w:ascii="inherit" w:hAnsi="inherit"/>
          <w:color w:val="3E3E3E"/>
          <w:sz w:val="31"/>
          <w:szCs w:val="31"/>
        </w:rPr>
      </w:pPr>
      <w:r>
        <w:rPr>
          <w:rFonts w:ascii="inherit" w:hAnsi="inherit"/>
          <w:b/>
          <w:bCs/>
          <w:color w:val="3E3E3E"/>
          <w:sz w:val="31"/>
          <w:szCs w:val="31"/>
        </w:rPr>
        <w:t>Administradora</w:t>
      </w:r>
    </w:p>
    <w:p w:rsidR="00BC3FF4" w:rsidRDefault="00BC3FF4" w:rsidP="00BC3FF4">
      <w:pPr>
        <w:pStyle w:val="m-paragraph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3E3E3E"/>
          <w:sz w:val="27"/>
          <w:szCs w:val="27"/>
        </w:rPr>
      </w:pPr>
      <w:r>
        <w:rPr>
          <w:rStyle w:val="Strong"/>
          <w:rFonts w:ascii="inherit" w:hAnsi="inherit"/>
          <w:b w:val="0"/>
          <w:bCs w:val="0"/>
          <w:color w:val="3E3E3E"/>
          <w:sz w:val="27"/>
          <w:szCs w:val="27"/>
          <w:bdr w:val="none" w:sz="0" w:space="0" w:color="auto" w:frame="1"/>
        </w:rPr>
        <w:t>DOCUMENTOS</w:t>
      </w:r>
    </w:p>
    <w:p w:rsidR="00BC3FF4" w:rsidRDefault="00BC3FF4" w:rsidP="00BC3FF4">
      <w:pPr>
        <w:pStyle w:val="m-paragraph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3E3E3E"/>
          <w:sz w:val="27"/>
          <w:szCs w:val="27"/>
        </w:rPr>
      </w:pPr>
      <w:r>
        <w:rPr>
          <w:rFonts w:ascii="inherit" w:hAnsi="inherit"/>
          <w:color w:val="3E3E3E"/>
          <w:sz w:val="27"/>
          <w:szCs w:val="27"/>
        </w:rPr>
        <w:t>Na transição de gestão e troca de empresas a atual deve entregar todos os documentos que provem a administração. Devem integrar a pasta de prestação de contas, principalmente:</w:t>
      </w:r>
    </w:p>
    <w:p w:rsidR="00BC3FF4" w:rsidRDefault="00BC3FF4" w:rsidP="00BC3FF4">
      <w:pPr>
        <w:pStyle w:val="m-paragraph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3E3E3E"/>
          <w:sz w:val="27"/>
          <w:szCs w:val="27"/>
        </w:rPr>
      </w:pP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Guias de recolhimento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e pagamento de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encargos sociais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Benefícios Trabalhistas e Tributos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Comprovante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s de Pagamentos de Contas;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Circulares entregues;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Cartas de comunicação;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Cadastro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atualizado de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condôminos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, com respectivos endereços e frações ideais;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Livro de Atas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Cartão do CNPJ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Convenção Condominial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e Especificação;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Relatório da Última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Emissão de Boletos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;</w:t>
      </w:r>
    </w:p>
    <w:p w:rsidR="00BC3FF4" w:rsidRPr="00BC3FF4" w:rsidRDefault="00BC3FF4" w:rsidP="00BC3FF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Livro de Registro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de Empregados e Balancetes</w:t>
      </w:r>
    </w:p>
    <w:p w:rsidR="00BC3FF4" w:rsidRDefault="00BC3FF4" w:rsidP="00BC3FF4">
      <w:pPr>
        <w:jc w:val="both"/>
      </w:pPr>
    </w:p>
    <w:p w:rsidR="00BC3FF4" w:rsidRPr="00BC3FF4" w:rsidRDefault="00BC3FF4" w:rsidP="00BC3FF4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PROCEDIMENTOS</w:t>
      </w:r>
    </w:p>
    <w:p w:rsidR="00BC3FF4" w:rsidRPr="00BC3FF4" w:rsidRDefault="00BC3FF4" w:rsidP="00BC3FF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lastRenderedPageBreak/>
        <w:t>Toda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 xml:space="preserve"> documentação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deve ser repassada para 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nova empresa,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como também uma carta com 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listagem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de todos os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documentos entregues,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protocolada pelo síndico.</w:t>
      </w:r>
    </w:p>
    <w:p w:rsidR="00BC3FF4" w:rsidRPr="00BC3FF4" w:rsidRDefault="00BC3FF4" w:rsidP="00BC3FF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Os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documentos não devem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ficar sob o poder da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administradora antiga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. 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atual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pode notificá-la dando um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prazo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para 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regularização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e envio dos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documentos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, sob pena de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ação de busca e apreensão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.</w:t>
      </w:r>
    </w:p>
    <w:p w:rsidR="00BC3FF4" w:rsidRPr="00BC3FF4" w:rsidRDefault="00BC3FF4" w:rsidP="00BC3FF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Irregularidades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na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gestão anterior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são graves problemas para a gestão atual. Quando o condomínio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 xml:space="preserve">suspeita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de irregularidades conduzidas por 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má fé da administradora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, deve acionar uma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 xml:space="preserve"> auditoria externa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com aprovação em assembleia.</w:t>
      </w:r>
    </w:p>
    <w:p w:rsidR="00BC3FF4" w:rsidRPr="00BC3FF4" w:rsidRDefault="00BC3FF4" w:rsidP="00BC3FF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A administradora comunica ao síndico as irregularidades, e este, após deliberação do conselho ou de assembleia geral, poderá constituir advogado e entrar com uma a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ção judicial ou extrajudicial.</w:t>
      </w:r>
    </w:p>
    <w:p w:rsidR="00BC3FF4" w:rsidRPr="00BC3FF4" w:rsidRDefault="00BC3FF4" w:rsidP="00BC3FF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De acordo com o artigo 1347 do Código Civil, compete ao síndico "dar imediato conhecimento à assembleia da existência de procedimento judicial ou administrativo, de interesse do condomínio".</w:t>
      </w:r>
    </w:p>
    <w:p w:rsidR="00BC3FF4" w:rsidRPr="00BC3FF4" w:rsidRDefault="00BC3FF4" w:rsidP="00BC3FF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</w:pP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Toda a documentação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 xml:space="preserve"> de um modo geral deve ser a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bdr w:val="none" w:sz="0" w:space="0" w:color="auto" w:frame="1"/>
          <w:lang w:eastAsia="pt-BR"/>
        </w:rPr>
        <w:t>rquivada durante 5 anos</w:t>
      </w:r>
      <w:r w:rsidRPr="00BC3FF4">
        <w:rPr>
          <w:rFonts w:ascii="inherit" w:eastAsia="Times New Roman" w:hAnsi="inherit" w:cs="Times New Roman"/>
          <w:color w:val="3E3E3E"/>
          <w:sz w:val="27"/>
          <w:szCs w:val="27"/>
          <w:lang w:eastAsia="pt-BR"/>
        </w:rPr>
        <w:t>, apenas a documentação relativa a FGTS e INSS que deve ser guardada por 35 anos.</w:t>
      </w:r>
    </w:p>
    <w:p w:rsidR="00BC3FF4" w:rsidRDefault="00BC3FF4" w:rsidP="00BC3FF4">
      <w:pPr>
        <w:jc w:val="both"/>
      </w:pPr>
    </w:p>
    <w:sectPr w:rsidR="00BC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344E3"/>
    <w:multiLevelType w:val="multilevel"/>
    <w:tmpl w:val="FF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628FF"/>
    <w:multiLevelType w:val="multilevel"/>
    <w:tmpl w:val="162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F4"/>
    <w:rsid w:val="003F6228"/>
    <w:rsid w:val="00B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72801-FC0C-4381-B0C1-459FDE5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BC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F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BC3F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paragraph">
    <w:name w:val="m-paragraph"/>
    <w:basedOn w:val="Normal"/>
    <w:rsid w:val="00BC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C3F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2019-11-22T20:14:00Z</dcterms:created>
  <dcterms:modified xsi:type="dcterms:W3CDTF">2019-11-22T20:16:00Z</dcterms:modified>
</cp:coreProperties>
</file>